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F1C0C" w14:textId="77777777" w:rsidR="00E03992" w:rsidRPr="000F069E" w:rsidRDefault="00E03992" w:rsidP="00E03992">
      <w:pPr>
        <w:spacing w:after="0" w:line="240" w:lineRule="auto"/>
        <w:jc w:val="center"/>
        <w:rPr>
          <w:rFonts w:cs="Times New Roman"/>
        </w:rPr>
      </w:pPr>
      <w:bookmarkStart w:id="0" w:name="_GoBack"/>
      <w:bookmarkEnd w:id="0"/>
    </w:p>
    <w:p w14:paraId="2423B0B5" w14:textId="4DAF48B3" w:rsidR="00E03992" w:rsidRPr="00D1291B" w:rsidRDefault="00E03992" w:rsidP="00E03992">
      <w:pPr>
        <w:spacing w:after="0" w:line="240" w:lineRule="auto"/>
        <w:jc w:val="center"/>
        <w:rPr>
          <w:rFonts w:cs="Times New Roman"/>
          <w:b/>
          <w:bCs/>
        </w:rPr>
      </w:pPr>
      <w:r w:rsidRPr="00D1291B">
        <w:rPr>
          <w:rFonts w:cs="Times New Roman"/>
          <w:b/>
          <w:bCs/>
        </w:rPr>
        <w:t xml:space="preserve"> </w:t>
      </w:r>
      <w:r w:rsidR="00D1291B" w:rsidRPr="00D1291B">
        <w:rPr>
          <w:rFonts w:cs="Times New Roman"/>
          <w:b/>
          <w:bCs/>
        </w:rPr>
        <w:t xml:space="preserve">MECHANIKOS INŽINERIJOS STUDIJŲ KRYPTIIES </w:t>
      </w:r>
      <w:r w:rsidRPr="00D1291B">
        <w:rPr>
          <w:rFonts w:cs="Times New Roman"/>
          <w:b/>
          <w:bCs/>
        </w:rPr>
        <w:t>IŠORINIO VERTINIMO REKOMENDACIJŲ</w:t>
      </w:r>
      <w:r w:rsidR="00D1291B" w:rsidRPr="00D1291B">
        <w:rPr>
          <w:rFonts w:cs="Times New Roman"/>
          <w:b/>
          <w:bCs/>
        </w:rPr>
        <w:t xml:space="preserve"> VYKDYMO PLANAS</w:t>
      </w:r>
      <w:r w:rsidRPr="00D1291B">
        <w:rPr>
          <w:rFonts w:cs="Times New Roman"/>
          <w:b/>
          <w:bCs/>
        </w:rPr>
        <w:t xml:space="preserve"> </w:t>
      </w:r>
    </w:p>
    <w:p w14:paraId="083EDA03" w14:textId="7C179686" w:rsidR="000F069E" w:rsidRPr="000F069E" w:rsidRDefault="00BA4479" w:rsidP="00E03992">
      <w:pPr>
        <w:spacing w:after="0" w:line="240" w:lineRule="auto"/>
        <w:jc w:val="center"/>
        <w:rPr>
          <w:rFonts w:cs="Times New Roman"/>
          <w:b/>
        </w:rPr>
      </w:pPr>
      <w:r>
        <w:rPr>
          <w:rFonts w:cs="Times New Roman"/>
          <w:b/>
        </w:rPr>
        <w:t>2021-08-30</w:t>
      </w:r>
    </w:p>
    <w:p w14:paraId="6E3E58CA" w14:textId="69ABBCE2" w:rsidR="000F069E" w:rsidRPr="000F069E" w:rsidRDefault="000F069E" w:rsidP="00E03992">
      <w:pPr>
        <w:spacing w:after="0" w:line="240" w:lineRule="auto"/>
        <w:jc w:val="center"/>
        <w:rPr>
          <w:rFonts w:cs="Times New Roman"/>
          <w:b/>
        </w:rPr>
      </w:pPr>
      <w:r w:rsidRPr="000F069E">
        <w:rPr>
          <w:rFonts w:cs="Times New Roman"/>
          <w:b/>
        </w:rPr>
        <w:t xml:space="preserve"> </w:t>
      </w:r>
    </w:p>
    <w:p w14:paraId="68E123F5" w14:textId="77777777" w:rsidR="00E03992" w:rsidRPr="000F069E" w:rsidRDefault="00E03992" w:rsidP="00E03992">
      <w:pPr>
        <w:spacing w:after="0" w:line="240" w:lineRule="auto"/>
        <w:jc w:val="center"/>
        <w:rPr>
          <w:rFonts w:cs="Times New Roman"/>
        </w:rPr>
      </w:pPr>
    </w:p>
    <w:tbl>
      <w:tblPr>
        <w:tblStyle w:val="TableGrid"/>
        <w:tblW w:w="5000" w:type="pct"/>
        <w:tblLook w:val="04A0" w:firstRow="1" w:lastRow="0" w:firstColumn="1" w:lastColumn="0" w:noHBand="0" w:noVBand="1"/>
      </w:tblPr>
      <w:tblGrid>
        <w:gridCol w:w="1376"/>
        <w:gridCol w:w="3075"/>
        <w:gridCol w:w="2431"/>
        <w:gridCol w:w="2031"/>
        <w:gridCol w:w="2442"/>
        <w:gridCol w:w="2638"/>
      </w:tblGrid>
      <w:tr w:rsidR="000926E4" w:rsidRPr="000F069E" w14:paraId="4D7779FA" w14:textId="333A3913" w:rsidTr="00D23FCA">
        <w:tc>
          <w:tcPr>
            <w:tcW w:w="439" w:type="pct"/>
          </w:tcPr>
          <w:p w14:paraId="202D6178" w14:textId="77777777" w:rsidR="000926E4" w:rsidRPr="000F069E" w:rsidRDefault="000926E4" w:rsidP="00E03992">
            <w:pPr>
              <w:jc w:val="center"/>
              <w:rPr>
                <w:rFonts w:cs="Times New Roman"/>
              </w:rPr>
            </w:pPr>
            <w:r w:rsidRPr="000F069E">
              <w:rPr>
                <w:rFonts w:cs="Times New Roman"/>
              </w:rPr>
              <w:t>Vertinamoji sritis</w:t>
            </w:r>
          </w:p>
        </w:tc>
        <w:tc>
          <w:tcPr>
            <w:tcW w:w="1109" w:type="pct"/>
          </w:tcPr>
          <w:p w14:paraId="08010EEA" w14:textId="77777777" w:rsidR="000926E4" w:rsidRPr="000F069E" w:rsidRDefault="000926E4" w:rsidP="00E03992">
            <w:pPr>
              <w:jc w:val="center"/>
              <w:rPr>
                <w:rFonts w:cs="Times New Roman"/>
              </w:rPr>
            </w:pPr>
            <w:r w:rsidRPr="000F069E">
              <w:rPr>
                <w:rFonts w:cs="Times New Roman"/>
              </w:rPr>
              <w:t>Ekspertų rekomendacijos, pateiktos paskutinio vertinimo metu</w:t>
            </w:r>
          </w:p>
        </w:tc>
        <w:tc>
          <w:tcPr>
            <w:tcW w:w="879" w:type="pct"/>
          </w:tcPr>
          <w:p w14:paraId="2BA5E413" w14:textId="4A45C17D" w:rsidR="000926E4" w:rsidRPr="000F069E" w:rsidRDefault="000926E4">
            <w:pPr>
              <w:jc w:val="center"/>
              <w:rPr>
                <w:rFonts w:cs="Times New Roman"/>
              </w:rPr>
            </w:pPr>
            <w:r>
              <w:rPr>
                <w:rFonts w:cs="Times New Roman"/>
              </w:rPr>
              <w:t>P</w:t>
            </w:r>
            <w:r w:rsidRPr="000F069E">
              <w:rPr>
                <w:rFonts w:cs="Times New Roman"/>
              </w:rPr>
              <w:t xml:space="preserve">lanuojami veiksmai </w:t>
            </w:r>
          </w:p>
        </w:tc>
        <w:tc>
          <w:tcPr>
            <w:tcW w:w="736" w:type="pct"/>
          </w:tcPr>
          <w:p w14:paraId="162B882B" w14:textId="0691BA1A" w:rsidR="000926E4" w:rsidRPr="000F069E" w:rsidRDefault="000926E4">
            <w:pPr>
              <w:jc w:val="center"/>
              <w:rPr>
                <w:rFonts w:cs="Times New Roman"/>
              </w:rPr>
            </w:pPr>
            <w:r>
              <w:rPr>
                <w:rFonts w:cs="Times New Roman"/>
              </w:rPr>
              <w:t>Įgyvendinimo</w:t>
            </w:r>
            <w:r w:rsidRPr="000F069E">
              <w:rPr>
                <w:rFonts w:cs="Times New Roman"/>
              </w:rPr>
              <w:t xml:space="preserve"> terminai</w:t>
            </w:r>
          </w:p>
        </w:tc>
        <w:tc>
          <w:tcPr>
            <w:tcW w:w="883" w:type="pct"/>
          </w:tcPr>
          <w:p w14:paraId="1F13963E" w14:textId="1F9D3A35" w:rsidR="000926E4" w:rsidRPr="000F069E" w:rsidRDefault="000926E4" w:rsidP="00E03992">
            <w:pPr>
              <w:jc w:val="center"/>
              <w:rPr>
                <w:rFonts w:cs="Times New Roman"/>
              </w:rPr>
            </w:pPr>
            <w:r>
              <w:rPr>
                <w:rFonts w:cs="Times New Roman"/>
              </w:rPr>
              <w:t>Atsakingi asmenys/padaliniai</w:t>
            </w:r>
          </w:p>
        </w:tc>
        <w:tc>
          <w:tcPr>
            <w:tcW w:w="953" w:type="pct"/>
          </w:tcPr>
          <w:p w14:paraId="5BAC50BD" w14:textId="7BC81100" w:rsidR="000926E4" w:rsidRPr="000F069E" w:rsidRDefault="000926E4" w:rsidP="00E03992">
            <w:pPr>
              <w:jc w:val="center"/>
              <w:rPr>
                <w:rFonts w:cs="Times New Roman"/>
              </w:rPr>
            </w:pPr>
            <w:r w:rsidRPr="000F069E">
              <w:rPr>
                <w:rFonts w:cs="Times New Roman"/>
              </w:rPr>
              <w:t>Pastabos</w:t>
            </w:r>
          </w:p>
        </w:tc>
      </w:tr>
      <w:tr w:rsidR="000926E4" w:rsidRPr="000F069E" w14:paraId="48A6807B" w14:textId="7CA23D65" w:rsidTr="00D23FCA">
        <w:tc>
          <w:tcPr>
            <w:tcW w:w="439" w:type="pct"/>
          </w:tcPr>
          <w:p w14:paraId="7B8F4129" w14:textId="77777777" w:rsidR="000926E4" w:rsidRPr="000F069E" w:rsidRDefault="000926E4" w:rsidP="000F069E">
            <w:pPr>
              <w:jc w:val="center"/>
              <w:rPr>
                <w:rFonts w:cs="Times New Roman"/>
              </w:rPr>
            </w:pPr>
            <w:r w:rsidRPr="000F069E">
              <w:rPr>
                <w:rFonts w:cs="Times New Roman"/>
              </w:rPr>
              <w:t xml:space="preserve">1. </w:t>
            </w:r>
          </w:p>
        </w:tc>
        <w:tc>
          <w:tcPr>
            <w:tcW w:w="1109" w:type="pct"/>
          </w:tcPr>
          <w:p w14:paraId="41C3BDD3" w14:textId="51308983" w:rsidR="000926E4" w:rsidRPr="000F069E" w:rsidRDefault="0040435E" w:rsidP="00E03992">
            <w:pPr>
              <w:jc w:val="center"/>
              <w:rPr>
                <w:rFonts w:cs="Times New Roman"/>
              </w:rPr>
            </w:pPr>
            <w:r>
              <w:t>Reikėtų peržiūrėti atskirų dalykų studijų rezultatus ir atnaujinti lentelę, kurioje atskirų dalykų studijų rezultatai yra derinami su studijų programos studijų rezultatais. Reikėtų įvardinti studijų rezultatus kaip studentų studijų metu įgytus gebėjimus. Venkite išsireiškimų „turėti žinių“, „supranta“, „suvokimas“ ir pan.</w:t>
            </w:r>
          </w:p>
        </w:tc>
        <w:tc>
          <w:tcPr>
            <w:tcW w:w="879" w:type="pct"/>
          </w:tcPr>
          <w:p w14:paraId="0D563247" w14:textId="4CB04E45" w:rsidR="000926E4" w:rsidRPr="000F069E" w:rsidRDefault="007A7083" w:rsidP="00E03992">
            <w:pPr>
              <w:jc w:val="center"/>
              <w:rPr>
                <w:rFonts w:cs="Times New Roman"/>
              </w:rPr>
            </w:pPr>
            <w:r>
              <w:rPr>
                <w:rFonts w:cs="Times New Roman"/>
              </w:rPr>
              <w:t>Peržiūrėti studijų dalykų modulių korteles ir atlikti pataisymus</w:t>
            </w:r>
          </w:p>
        </w:tc>
        <w:tc>
          <w:tcPr>
            <w:tcW w:w="736" w:type="pct"/>
          </w:tcPr>
          <w:p w14:paraId="3ED3937A" w14:textId="4703AE62" w:rsidR="000926E4" w:rsidRPr="000F069E" w:rsidRDefault="00D23FCA" w:rsidP="00E03992">
            <w:pPr>
              <w:jc w:val="center"/>
              <w:rPr>
                <w:rFonts w:cs="Times New Roman"/>
              </w:rPr>
            </w:pPr>
            <w:r>
              <w:rPr>
                <w:rFonts w:cs="Times New Roman"/>
              </w:rPr>
              <w:t>2021-09-01 – 2023-07-01</w:t>
            </w:r>
          </w:p>
        </w:tc>
        <w:tc>
          <w:tcPr>
            <w:tcW w:w="883" w:type="pct"/>
          </w:tcPr>
          <w:p w14:paraId="55CD8650" w14:textId="769FF78D" w:rsidR="000926E4" w:rsidRPr="000F069E" w:rsidRDefault="007A7083" w:rsidP="00E03992">
            <w:pPr>
              <w:jc w:val="center"/>
              <w:rPr>
                <w:rFonts w:cs="Times New Roman"/>
              </w:rPr>
            </w:pPr>
            <w:r>
              <w:rPr>
                <w:rFonts w:cs="Times New Roman"/>
              </w:rPr>
              <w:t>Mechanikos inžinerijos studijų programose dalyvaujantys dėstytojai</w:t>
            </w:r>
          </w:p>
        </w:tc>
        <w:tc>
          <w:tcPr>
            <w:tcW w:w="953" w:type="pct"/>
          </w:tcPr>
          <w:p w14:paraId="771A4A9E" w14:textId="77777777" w:rsidR="000926E4" w:rsidRPr="000F069E" w:rsidRDefault="000926E4" w:rsidP="00E03992">
            <w:pPr>
              <w:jc w:val="center"/>
              <w:rPr>
                <w:rFonts w:cs="Times New Roman"/>
              </w:rPr>
            </w:pPr>
          </w:p>
        </w:tc>
      </w:tr>
      <w:tr w:rsidR="000926E4" w:rsidRPr="000F069E" w14:paraId="524C69B1" w14:textId="46AD8436" w:rsidTr="00D23FCA">
        <w:tc>
          <w:tcPr>
            <w:tcW w:w="439" w:type="pct"/>
          </w:tcPr>
          <w:p w14:paraId="369BCB39" w14:textId="77777777" w:rsidR="000926E4" w:rsidRPr="000F069E" w:rsidRDefault="000926E4" w:rsidP="00E03992">
            <w:pPr>
              <w:jc w:val="center"/>
              <w:rPr>
                <w:rFonts w:cs="Times New Roman"/>
              </w:rPr>
            </w:pPr>
            <w:r w:rsidRPr="000F069E">
              <w:rPr>
                <w:rFonts w:cs="Times New Roman"/>
              </w:rPr>
              <w:t>2.</w:t>
            </w:r>
          </w:p>
        </w:tc>
        <w:tc>
          <w:tcPr>
            <w:tcW w:w="1109" w:type="pct"/>
          </w:tcPr>
          <w:p w14:paraId="7741FEF9" w14:textId="77777777" w:rsidR="007A7083" w:rsidRDefault="0040435E" w:rsidP="00E03992">
            <w:pPr>
              <w:jc w:val="center"/>
            </w:pPr>
            <w:r>
              <w:t>Peržiūrint studijų planą, reikėtų apsvarstyti galimybę į studijų planą įtraukti šiuos dalykus:</w:t>
            </w:r>
          </w:p>
          <w:p w14:paraId="0D88317C" w14:textId="77777777" w:rsidR="00F561C9" w:rsidRDefault="0040435E" w:rsidP="00E03992">
            <w:pPr>
              <w:jc w:val="center"/>
            </w:pPr>
            <w:r>
              <w:t xml:space="preserve"> ○ Išmanioji pramonė, Komunikacijos, Pridėtinė gamyba; </w:t>
            </w:r>
          </w:p>
          <w:p w14:paraId="11D009B3" w14:textId="71E8DD8C" w:rsidR="000926E4" w:rsidRPr="000F069E" w:rsidRDefault="0040435E" w:rsidP="00E03992">
            <w:pPr>
              <w:jc w:val="center"/>
              <w:rPr>
                <w:rFonts w:cs="Times New Roman"/>
              </w:rPr>
            </w:pPr>
            <w:r>
              <w:t>○ atnaujinti kompiuterinį programavimą (įtraukiant naujausias programavimo kalbas, pvz., python).</w:t>
            </w:r>
          </w:p>
        </w:tc>
        <w:tc>
          <w:tcPr>
            <w:tcW w:w="879" w:type="pct"/>
          </w:tcPr>
          <w:p w14:paraId="02F66CD5" w14:textId="3CDF0BA2" w:rsidR="006A1668" w:rsidRDefault="006A1668" w:rsidP="006A1668">
            <w:pPr>
              <w:jc w:val="center"/>
              <w:rPr>
                <w:rFonts w:cs="Times New Roman"/>
              </w:rPr>
            </w:pPr>
            <w:r>
              <w:rPr>
                <w:rFonts w:cs="Times New Roman"/>
              </w:rPr>
              <w:t>Įtraukti paskaitas apie Išmaniąją pramonę ir Pridėtinę gamybą į dalykų Gamybos technologijos, Mechaninės, lazerinė</w:t>
            </w:r>
            <w:r w:rsidR="00F561C9">
              <w:rPr>
                <w:rFonts w:cs="Times New Roman"/>
              </w:rPr>
              <w:t>s</w:t>
            </w:r>
            <w:r>
              <w:rPr>
                <w:rFonts w:cs="Times New Roman"/>
              </w:rPr>
              <w:t xml:space="preserve"> ir kitokios gamybos technologijos. </w:t>
            </w:r>
          </w:p>
          <w:p w14:paraId="7510D025" w14:textId="2D85D984" w:rsidR="000926E4" w:rsidRPr="000F069E" w:rsidRDefault="00D339F0" w:rsidP="00E03992">
            <w:pPr>
              <w:jc w:val="center"/>
              <w:rPr>
                <w:rFonts w:cs="Times New Roman"/>
              </w:rPr>
            </w:pPr>
            <w:r>
              <w:rPr>
                <w:rFonts w:cs="Times New Roman"/>
              </w:rPr>
              <w:t xml:space="preserve">Peržiūrėti dalyko „Programavimas C“ modulio kortelę, apsvarstyti galimybę įtraukti naujausias programavimo kalbas su FM fakulteto dėstytojais </w:t>
            </w:r>
          </w:p>
        </w:tc>
        <w:tc>
          <w:tcPr>
            <w:tcW w:w="736" w:type="pct"/>
          </w:tcPr>
          <w:p w14:paraId="210E1D85" w14:textId="0AB44439" w:rsidR="000926E4" w:rsidRPr="000F069E" w:rsidRDefault="00F561C9" w:rsidP="00E03992">
            <w:pPr>
              <w:jc w:val="center"/>
              <w:rPr>
                <w:rFonts w:cs="Times New Roman"/>
              </w:rPr>
            </w:pPr>
            <w:r>
              <w:rPr>
                <w:rFonts w:cs="Times New Roman"/>
              </w:rPr>
              <w:t>2021-09-01 – 2023-07-01</w:t>
            </w:r>
          </w:p>
        </w:tc>
        <w:tc>
          <w:tcPr>
            <w:tcW w:w="883" w:type="pct"/>
          </w:tcPr>
          <w:p w14:paraId="358F3762" w14:textId="0970AD07" w:rsidR="000926E4" w:rsidRPr="000F069E" w:rsidRDefault="00D339F0" w:rsidP="00E03992">
            <w:pPr>
              <w:jc w:val="center"/>
              <w:rPr>
                <w:rFonts w:cs="Times New Roman"/>
              </w:rPr>
            </w:pPr>
            <w:r>
              <w:rPr>
                <w:rFonts w:cs="Times New Roman"/>
              </w:rPr>
              <w:t xml:space="preserve">Mechanikos ir medžiagų inžinerijos katedra, </w:t>
            </w:r>
            <w:r w:rsidR="006A1668">
              <w:rPr>
                <w:rFonts w:cs="Times New Roman"/>
              </w:rPr>
              <w:t xml:space="preserve">Mechatronikos, robotikos ir skaitmeninės gamybos katedra </w:t>
            </w:r>
          </w:p>
        </w:tc>
        <w:tc>
          <w:tcPr>
            <w:tcW w:w="953" w:type="pct"/>
          </w:tcPr>
          <w:p w14:paraId="09B5EC5A" w14:textId="77777777" w:rsidR="000926E4" w:rsidRPr="000F069E" w:rsidRDefault="000926E4" w:rsidP="00E03992">
            <w:pPr>
              <w:jc w:val="center"/>
              <w:rPr>
                <w:rFonts w:cs="Times New Roman"/>
              </w:rPr>
            </w:pPr>
          </w:p>
        </w:tc>
      </w:tr>
      <w:tr w:rsidR="000926E4" w:rsidRPr="000F069E" w14:paraId="17ACD024" w14:textId="2338FF48" w:rsidTr="00D23FCA">
        <w:tc>
          <w:tcPr>
            <w:tcW w:w="439" w:type="pct"/>
          </w:tcPr>
          <w:p w14:paraId="587F82E4" w14:textId="77777777" w:rsidR="000926E4" w:rsidRPr="000F069E" w:rsidRDefault="000926E4" w:rsidP="00E03992">
            <w:pPr>
              <w:jc w:val="center"/>
              <w:rPr>
                <w:rFonts w:cs="Times New Roman"/>
              </w:rPr>
            </w:pPr>
            <w:r w:rsidRPr="000F069E">
              <w:rPr>
                <w:rFonts w:cs="Times New Roman"/>
              </w:rPr>
              <w:t>3.</w:t>
            </w:r>
          </w:p>
        </w:tc>
        <w:tc>
          <w:tcPr>
            <w:tcW w:w="1109" w:type="pct"/>
          </w:tcPr>
          <w:p w14:paraId="2ECD4BA2" w14:textId="3BA4FE32" w:rsidR="000926E4" w:rsidRPr="000F069E" w:rsidRDefault="0040435E" w:rsidP="00E03992">
            <w:pPr>
              <w:jc w:val="center"/>
              <w:rPr>
                <w:rFonts w:cs="Times New Roman"/>
              </w:rPr>
            </w:pPr>
            <w:r>
              <w:t>Norint padidinti publikacijų apimtį ir kokybę, reikėtų išnaudoti vykstantį bendradarbiavimą su socialiniais partneriais ir vietos pramone tiriamųjų veiklų ir mokslo srityje</w:t>
            </w:r>
          </w:p>
        </w:tc>
        <w:tc>
          <w:tcPr>
            <w:tcW w:w="879" w:type="pct"/>
          </w:tcPr>
          <w:p w14:paraId="14DB416C" w14:textId="167DEF99" w:rsidR="000926E4" w:rsidRPr="000F069E" w:rsidRDefault="00BC62D1" w:rsidP="00E03992">
            <w:pPr>
              <w:jc w:val="center"/>
              <w:rPr>
                <w:rFonts w:cs="Times New Roman"/>
              </w:rPr>
            </w:pPr>
            <w:r>
              <w:rPr>
                <w:rFonts w:cs="Times New Roman"/>
              </w:rPr>
              <w:t xml:space="preserve">Ieškoti partnerių, kuriems būtų naudinga tokia veikla, </w:t>
            </w:r>
            <w:r w:rsidR="006A1668">
              <w:rPr>
                <w:rFonts w:cs="Times New Roman"/>
              </w:rPr>
              <w:t xml:space="preserve">deja, </w:t>
            </w:r>
            <w:r>
              <w:rPr>
                <w:rFonts w:cs="Times New Roman"/>
              </w:rPr>
              <w:t>Lietuvoje yra nedaug tokių įmonių, kurios būtų suinteresuotos vykdyti mokslo veiklą</w:t>
            </w:r>
          </w:p>
        </w:tc>
        <w:tc>
          <w:tcPr>
            <w:tcW w:w="736" w:type="pct"/>
          </w:tcPr>
          <w:p w14:paraId="3A698F39" w14:textId="38060368" w:rsidR="000926E4" w:rsidRPr="000F069E" w:rsidRDefault="00F561C9" w:rsidP="00E03992">
            <w:pPr>
              <w:jc w:val="center"/>
              <w:rPr>
                <w:rFonts w:cs="Times New Roman"/>
              </w:rPr>
            </w:pPr>
            <w:r>
              <w:rPr>
                <w:rFonts w:cs="Times New Roman"/>
              </w:rPr>
              <w:t>2021-09-01 – 2023-07-01</w:t>
            </w:r>
          </w:p>
        </w:tc>
        <w:tc>
          <w:tcPr>
            <w:tcW w:w="883" w:type="pct"/>
          </w:tcPr>
          <w:p w14:paraId="7EA84004" w14:textId="2E98B171" w:rsidR="000926E4" w:rsidRPr="000F069E" w:rsidRDefault="006A1668" w:rsidP="00E03992">
            <w:pPr>
              <w:jc w:val="center"/>
              <w:rPr>
                <w:rFonts w:cs="Times New Roman"/>
              </w:rPr>
            </w:pPr>
            <w:r>
              <w:rPr>
                <w:rFonts w:cs="Times New Roman"/>
              </w:rPr>
              <w:t>Mechanikos ir medžiagų inžinerijos katedra</w:t>
            </w:r>
          </w:p>
        </w:tc>
        <w:tc>
          <w:tcPr>
            <w:tcW w:w="953" w:type="pct"/>
          </w:tcPr>
          <w:p w14:paraId="5CA624AD" w14:textId="77777777" w:rsidR="000926E4" w:rsidRPr="000F069E" w:rsidRDefault="000926E4" w:rsidP="00E03992">
            <w:pPr>
              <w:jc w:val="center"/>
              <w:rPr>
                <w:rFonts w:cs="Times New Roman"/>
              </w:rPr>
            </w:pPr>
          </w:p>
        </w:tc>
      </w:tr>
      <w:tr w:rsidR="000926E4" w:rsidRPr="000F069E" w14:paraId="53442232" w14:textId="6CD9F18A" w:rsidTr="00D23FCA">
        <w:tc>
          <w:tcPr>
            <w:tcW w:w="439" w:type="pct"/>
          </w:tcPr>
          <w:p w14:paraId="5BB9C420" w14:textId="77777777" w:rsidR="000926E4" w:rsidRPr="000F069E" w:rsidRDefault="000926E4" w:rsidP="00E03992">
            <w:pPr>
              <w:jc w:val="center"/>
              <w:rPr>
                <w:rFonts w:cs="Times New Roman"/>
              </w:rPr>
            </w:pPr>
            <w:r w:rsidRPr="000F069E">
              <w:rPr>
                <w:rFonts w:cs="Times New Roman"/>
              </w:rPr>
              <w:t>4.</w:t>
            </w:r>
          </w:p>
        </w:tc>
        <w:tc>
          <w:tcPr>
            <w:tcW w:w="1109" w:type="pct"/>
          </w:tcPr>
          <w:p w14:paraId="00A5F1AC" w14:textId="697F1883" w:rsidR="000926E4" w:rsidRPr="000F069E" w:rsidRDefault="0040435E" w:rsidP="00E03992">
            <w:pPr>
              <w:jc w:val="center"/>
              <w:rPr>
                <w:rFonts w:cs="Times New Roman"/>
              </w:rPr>
            </w:pPr>
            <w:r>
              <w:t>Skatinti darbuotojus ir studentus daugiau dalyvauti tarptautinėse mainų programose ir sudaryti sąlygas, galinčias paskatinti atvykti daugiau studentų pagal mainų programas. Šiuo tikslu reiktų patobulinti ir VGTU tinklalapio anglų kalba vaizdą bei turinį</w:t>
            </w:r>
          </w:p>
        </w:tc>
        <w:tc>
          <w:tcPr>
            <w:tcW w:w="879" w:type="pct"/>
          </w:tcPr>
          <w:p w14:paraId="7934F220" w14:textId="5593791B" w:rsidR="000926E4" w:rsidRPr="000F069E" w:rsidRDefault="00166EC1" w:rsidP="00E03992">
            <w:pPr>
              <w:jc w:val="center"/>
              <w:rPr>
                <w:rFonts w:cs="Times New Roman"/>
              </w:rPr>
            </w:pPr>
            <w:r>
              <w:rPr>
                <w:rFonts w:cs="Times New Roman"/>
              </w:rPr>
              <w:t xml:space="preserve">Toliau tobulinti Mechanikos ir medžiagų inžinerijos katedros tinklapį, VILNIUSTECH tinklapio tobulinti </w:t>
            </w:r>
            <w:r w:rsidR="00F561C9">
              <w:rPr>
                <w:rFonts w:cs="Times New Roman"/>
              </w:rPr>
              <w:t xml:space="preserve">SPK </w:t>
            </w:r>
            <w:r>
              <w:rPr>
                <w:rFonts w:cs="Times New Roman"/>
              </w:rPr>
              <w:t>n</w:t>
            </w:r>
            <w:r w:rsidR="00F561C9">
              <w:rPr>
                <w:rFonts w:cs="Times New Roman"/>
              </w:rPr>
              <w:t>eturi</w:t>
            </w:r>
            <w:r>
              <w:rPr>
                <w:rFonts w:cs="Times New Roman"/>
              </w:rPr>
              <w:t xml:space="preserve"> galimyb</w:t>
            </w:r>
            <w:r w:rsidR="006A1668">
              <w:rPr>
                <w:rFonts w:cs="Times New Roman"/>
              </w:rPr>
              <w:t>ių</w:t>
            </w:r>
          </w:p>
        </w:tc>
        <w:tc>
          <w:tcPr>
            <w:tcW w:w="736" w:type="pct"/>
          </w:tcPr>
          <w:p w14:paraId="7F39C0FD" w14:textId="2CD2D0D7" w:rsidR="000926E4" w:rsidRPr="000F069E" w:rsidRDefault="00D23FCA" w:rsidP="00E03992">
            <w:pPr>
              <w:jc w:val="center"/>
              <w:rPr>
                <w:rFonts w:cs="Times New Roman"/>
              </w:rPr>
            </w:pPr>
            <w:r>
              <w:rPr>
                <w:rFonts w:cs="Times New Roman"/>
              </w:rPr>
              <w:t>2021-09-01 – 2023-07-01</w:t>
            </w:r>
          </w:p>
        </w:tc>
        <w:tc>
          <w:tcPr>
            <w:tcW w:w="883" w:type="pct"/>
          </w:tcPr>
          <w:p w14:paraId="65ADAFF4" w14:textId="32DC1897" w:rsidR="000926E4" w:rsidRPr="000F069E" w:rsidRDefault="006A1668" w:rsidP="00E03992">
            <w:pPr>
              <w:jc w:val="center"/>
              <w:rPr>
                <w:rFonts w:cs="Times New Roman"/>
              </w:rPr>
            </w:pPr>
            <w:r>
              <w:rPr>
                <w:rFonts w:cs="Times New Roman"/>
              </w:rPr>
              <w:t>Mechanikos ir medžiagų inžinerijos katedra</w:t>
            </w:r>
          </w:p>
        </w:tc>
        <w:tc>
          <w:tcPr>
            <w:tcW w:w="953" w:type="pct"/>
          </w:tcPr>
          <w:p w14:paraId="00141C2B" w14:textId="77777777" w:rsidR="000926E4" w:rsidRPr="000F069E" w:rsidRDefault="000926E4" w:rsidP="00E03992">
            <w:pPr>
              <w:jc w:val="center"/>
              <w:rPr>
                <w:rFonts w:cs="Times New Roman"/>
              </w:rPr>
            </w:pPr>
          </w:p>
        </w:tc>
      </w:tr>
      <w:tr w:rsidR="000926E4" w:rsidRPr="000F069E" w14:paraId="5B0F114B" w14:textId="1E8959CA" w:rsidTr="00D23FCA">
        <w:tc>
          <w:tcPr>
            <w:tcW w:w="439" w:type="pct"/>
          </w:tcPr>
          <w:p w14:paraId="77E0A9FC" w14:textId="77777777" w:rsidR="000926E4" w:rsidRPr="000F069E" w:rsidRDefault="000926E4" w:rsidP="00E03992">
            <w:pPr>
              <w:jc w:val="center"/>
              <w:rPr>
                <w:rFonts w:cs="Times New Roman"/>
              </w:rPr>
            </w:pPr>
            <w:r w:rsidRPr="000F069E">
              <w:rPr>
                <w:rFonts w:cs="Times New Roman"/>
              </w:rPr>
              <w:t>5.</w:t>
            </w:r>
          </w:p>
        </w:tc>
        <w:tc>
          <w:tcPr>
            <w:tcW w:w="1109" w:type="pct"/>
          </w:tcPr>
          <w:p w14:paraId="00E60FE1" w14:textId="2E8809B3" w:rsidR="000926E4" w:rsidRPr="000F069E" w:rsidRDefault="0040435E" w:rsidP="00E03992">
            <w:pPr>
              <w:jc w:val="center"/>
              <w:rPr>
                <w:rFonts w:cs="Times New Roman"/>
              </w:rPr>
            </w:pPr>
            <w:r>
              <w:t>Dėstytojai turėtų skirti daugiau laiko savo profesinės kvalifikacijos tobulinimui; tai ypač taikoma anglų kalbos žinioms</w:t>
            </w:r>
          </w:p>
        </w:tc>
        <w:tc>
          <w:tcPr>
            <w:tcW w:w="879" w:type="pct"/>
          </w:tcPr>
          <w:p w14:paraId="14FBCA70" w14:textId="72D0F457" w:rsidR="000926E4" w:rsidRPr="000F069E" w:rsidRDefault="006A1668" w:rsidP="00E03992">
            <w:pPr>
              <w:jc w:val="center"/>
              <w:rPr>
                <w:rFonts w:cs="Times New Roman"/>
              </w:rPr>
            </w:pPr>
            <w:r>
              <w:rPr>
                <w:rFonts w:cs="Times New Roman"/>
              </w:rPr>
              <w:t>SPK neturi tokių galimybių, tai problema liečianti visą universitetą</w:t>
            </w:r>
          </w:p>
        </w:tc>
        <w:tc>
          <w:tcPr>
            <w:tcW w:w="736" w:type="pct"/>
          </w:tcPr>
          <w:p w14:paraId="1A91D7CC" w14:textId="77777777" w:rsidR="000926E4" w:rsidRPr="000F069E" w:rsidRDefault="000926E4" w:rsidP="00E03992">
            <w:pPr>
              <w:jc w:val="center"/>
              <w:rPr>
                <w:rFonts w:cs="Times New Roman"/>
              </w:rPr>
            </w:pPr>
          </w:p>
        </w:tc>
        <w:tc>
          <w:tcPr>
            <w:tcW w:w="883" w:type="pct"/>
          </w:tcPr>
          <w:p w14:paraId="6810796C" w14:textId="77777777" w:rsidR="000926E4" w:rsidRPr="000F069E" w:rsidRDefault="000926E4" w:rsidP="00E03992">
            <w:pPr>
              <w:jc w:val="center"/>
              <w:rPr>
                <w:rFonts w:cs="Times New Roman"/>
              </w:rPr>
            </w:pPr>
          </w:p>
        </w:tc>
        <w:tc>
          <w:tcPr>
            <w:tcW w:w="953" w:type="pct"/>
          </w:tcPr>
          <w:p w14:paraId="16466EC2" w14:textId="77777777" w:rsidR="000926E4" w:rsidRPr="000F069E" w:rsidRDefault="000926E4" w:rsidP="00E03992">
            <w:pPr>
              <w:jc w:val="center"/>
              <w:rPr>
                <w:rFonts w:cs="Times New Roman"/>
              </w:rPr>
            </w:pPr>
          </w:p>
        </w:tc>
      </w:tr>
      <w:tr w:rsidR="0038304D" w:rsidRPr="000F069E" w14:paraId="67B6E76B" w14:textId="77777777" w:rsidTr="00D23FCA">
        <w:tc>
          <w:tcPr>
            <w:tcW w:w="439" w:type="pct"/>
          </w:tcPr>
          <w:p w14:paraId="4F3162CC" w14:textId="2E94F6DF" w:rsidR="0038304D" w:rsidRPr="000F069E" w:rsidRDefault="0038304D" w:rsidP="00E03992">
            <w:pPr>
              <w:jc w:val="center"/>
              <w:rPr>
                <w:rFonts w:cs="Times New Roman"/>
              </w:rPr>
            </w:pPr>
            <w:r>
              <w:rPr>
                <w:rFonts w:cs="Times New Roman"/>
              </w:rPr>
              <w:t>6.</w:t>
            </w:r>
          </w:p>
        </w:tc>
        <w:tc>
          <w:tcPr>
            <w:tcW w:w="1109" w:type="pct"/>
          </w:tcPr>
          <w:p w14:paraId="34A81802" w14:textId="4E545967" w:rsidR="0038304D" w:rsidRPr="000F069E" w:rsidRDefault="0040435E" w:rsidP="00E03992">
            <w:pPr>
              <w:jc w:val="center"/>
              <w:rPr>
                <w:rFonts w:cs="Times New Roman"/>
              </w:rPr>
            </w:pPr>
            <w:r>
              <w:t>Užtikrinti, kad į VGTU biudžetą būtų įtraukta pakankamai lėšų, skirtų programinės įrangos licencijoms išlaikyti, kad studentai ir darbuotojai ir toliau galėtų naudotis patobulinta studijavimo programine įranga.</w:t>
            </w:r>
          </w:p>
        </w:tc>
        <w:tc>
          <w:tcPr>
            <w:tcW w:w="879" w:type="pct"/>
          </w:tcPr>
          <w:p w14:paraId="2FADCDC8" w14:textId="10EC1FDC" w:rsidR="0038304D" w:rsidRPr="000F069E" w:rsidRDefault="00BC62D1" w:rsidP="00E03992">
            <w:pPr>
              <w:jc w:val="center"/>
              <w:rPr>
                <w:rFonts w:cs="Times New Roman"/>
              </w:rPr>
            </w:pPr>
            <w:r>
              <w:rPr>
                <w:rFonts w:cs="Times New Roman"/>
              </w:rPr>
              <w:t>Programinė įranga atnaujinama</w:t>
            </w:r>
            <w:r w:rsidR="00CD6771">
              <w:rPr>
                <w:rFonts w:cs="Times New Roman"/>
              </w:rPr>
              <w:t xml:space="preserve"> pakankamai dažnai</w:t>
            </w:r>
            <w:r>
              <w:rPr>
                <w:rFonts w:cs="Times New Roman"/>
              </w:rPr>
              <w:t>, reikia tik atnaujinti informaciją apie ją studijų dalykų modulių kortelėse</w:t>
            </w:r>
          </w:p>
        </w:tc>
        <w:tc>
          <w:tcPr>
            <w:tcW w:w="736" w:type="pct"/>
          </w:tcPr>
          <w:p w14:paraId="39BC4F51" w14:textId="07CC1794" w:rsidR="0038304D" w:rsidRPr="000F069E" w:rsidRDefault="00F561C9" w:rsidP="00E03992">
            <w:pPr>
              <w:jc w:val="center"/>
              <w:rPr>
                <w:rFonts w:cs="Times New Roman"/>
              </w:rPr>
            </w:pPr>
            <w:r>
              <w:rPr>
                <w:rFonts w:cs="Times New Roman"/>
              </w:rPr>
              <w:t>2021-09-01 – 2023-07-01</w:t>
            </w:r>
          </w:p>
        </w:tc>
        <w:tc>
          <w:tcPr>
            <w:tcW w:w="883" w:type="pct"/>
          </w:tcPr>
          <w:p w14:paraId="083BB237" w14:textId="011332C9" w:rsidR="0038304D" w:rsidRPr="000F069E" w:rsidRDefault="00CD6771" w:rsidP="00E03992">
            <w:pPr>
              <w:jc w:val="center"/>
              <w:rPr>
                <w:rFonts w:cs="Times New Roman"/>
              </w:rPr>
            </w:pPr>
            <w:r>
              <w:rPr>
                <w:rFonts w:cs="Times New Roman"/>
              </w:rPr>
              <w:t>Mechanikos inžinerijos studijų programose dalyvaujantys dėstytojai</w:t>
            </w:r>
          </w:p>
        </w:tc>
        <w:tc>
          <w:tcPr>
            <w:tcW w:w="953" w:type="pct"/>
          </w:tcPr>
          <w:p w14:paraId="7530AF02" w14:textId="77777777" w:rsidR="0038304D" w:rsidRPr="000F069E" w:rsidRDefault="0038304D" w:rsidP="00E03992">
            <w:pPr>
              <w:jc w:val="center"/>
              <w:rPr>
                <w:rFonts w:cs="Times New Roman"/>
              </w:rPr>
            </w:pPr>
          </w:p>
        </w:tc>
      </w:tr>
      <w:tr w:rsidR="0038304D" w:rsidRPr="000F069E" w14:paraId="3A80F922" w14:textId="77777777" w:rsidTr="00D23FCA">
        <w:tc>
          <w:tcPr>
            <w:tcW w:w="439" w:type="pct"/>
          </w:tcPr>
          <w:p w14:paraId="6ED8F246" w14:textId="6B5A6866" w:rsidR="0038304D" w:rsidRPr="000F069E" w:rsidRDefault="0038304D" w:rsidP="00E03992">
            <w:pPr>
              <w:jc w:val="center"/>
              <w:rPr>
                <w:rFonts w:cs="Times New Roman"/>
              </w:rPr>
            </w:pPr>
            <w:r>
              <w:rPr>
                <w:rFonts w:cs="Times New Roman"/>
              </w:rPr>
              <w:t>7.</w:t>
            </w:r>
          </w:p>
        </w:tc>
        <w:tc>
          <w:tcPr>
            <w:tcW w:w="1109" w:type="pct"/>
          </w:tcPr>
          <w:p w14:paraId="4D9C14A7" w14:textId="77777777" w:rsidR="00D00B85" w:rsidRDefault="0040435E" w:rsidP="00E03992">
            <w:pPr>
              <w:jc w:val="center"/>
            </w:pPr>
            <w:r>
              <w:t>Reikėtų periodiškai vertinti vidaus kokybės užtikrinimo sistemą, siekiant užtikrinti, kad:</w:t>
            </w:r>
          </w:p>
          <w:p w14:paraId="2E4CD712" w14:textId="77777777" w:rsidR="00D00B85" w:rsidRDefault="0040435E" w:rsidP="00E03992">
            <w:pPr>
              <w:jc w:val="center"/>
            </w:pPr>
            <w:r>
              <w:t xml:space="preserve"> ○ apie studijų programos pokyčius, atliktus po kiekvieno vertinimo, būtų pranešta visiems socialiniams dalininkams; </w:t>
            </w:r>
          </w:p>
          <w:p w14:paraId="13D351AE" w14:textId="77D12A33" w:rsidR="0038304D" w:rsidRPr="000F069E" w:rsidRDefault="0040435E" w:rsidP="00E03992">
            <w:pPr>
              <w:jc w:val="center"/>
              <w:rPr>
                <w:rFonts w:cs="Times New Roman"/>
              </w:rPr>
            </w:pPr>
            <w:r>
              <w:t>○ apibendrinti visų apklausų rezultatai būtų paskelbti tinklalapyje ir prieinami visiems socialiniams dalininkams</w:t>
            </w:r>
          </w:p>
        </w:tc>
        <w:tc>
          <w:tcPr>
            <w:tcW w:w="879" w:type="pct"/>
          </w:tcPr>
          <w:p w14:paraId="2CF14991" w14:textId="763457C2" w:rsidR="0038304D" w:rsidRPr="000F069E" w:rsidRDefault="00D00B85" w:rsidP="00E03992">
            <w:pPr>
              <w:jc w:val="center"/>
              <w:rPr>
                <w:rFonts w:cs="Times New Roman"/>
              </w:rPr>
            </w:pPr>
            <w:r>
              <w:rPr>
                <w:rFonts w:cs="Times New Roman"/>
              </w:rPr>
              <w:t>Skelbti informaciją apie studijų programų pokyčius katedros tinklapyje</w:t>
            </w:r>
          </w:p>
        </w:tc>
        <w:tc>
          <w:tcPr>
            <w:tcW w:w="736" w:type="pct"/>
          </w:tcPr>
          <w:p w14:paraId="3FA012D9" w14:textId="2A1E26A0" w:rsidR="0038304D" w:rsidRPr="000F069E" w:rsidRDefault="00D23FCA" w:rsidP="00E03992">
            <w:pPr>
              <w:jc w:val="center"/>
              <w:rPr>
                <w:rFonts w:cs="Times New Roman"/>
              </w:rPr>
            </w:pPr>
            <w:r>
              <w:rPr>
                <w:rFonts w:cs="Times New Roman"/>
              </w:rPr>
              <w:t>2021-09-01 – 2022-07-01</w:t>
            </w:r>
          </w:p>
        </w:tc>
        <w:tc>
          <w:tcPr>
            <w:tcW w:w="883" w:type="pct"/>
          </w:tcPr>
          <w:p w14:paraId="7AFFDA22" w14:textId="22C7F271" w:rsidR="0038304D" w:rsidRPr="000F069E" w:rsidRDefault="00CD6771" w:rsidP="00E03992">
            <w:pPr>
              <w:jc w:val="center"/>
              <w:rPr>
                <w:rFonts w:cs="Times New Roman"/>
              </w:rPr>
            </w:pPr>
            <w:r>
              <w:rPr>
                <w:rFonts w:cs="Times New Roman"/>
              </w:rPr>
              <w:t>Mechanikos ir medžiagų inžinerijos katedra</w:t>
            </w:r>
          </w:p>
        </w:tc>
        <w:tc>
          <w:tcPr>
            <w:tcW w:w="953" w:type="pct"/>
          </w:tcPr>
          <w:p w14:paraId="4460393F" w14:textId="77777777" w:rsidR="0038304D" w:rsidRPr="000F069E" w:rsidRDefault="0038304D" w:rsidP="00E03992">
            <w:pPr>
              <w:jc w:val="center"/>
              <w:rPr>
                <w:rFonts w:cs="Times New Roman"/>
              </w:rPr>
            </w:pPr>
          </w:p>
        </w:tc>
      </w:tr>
    </w:tbl>
    <w:p w14:paraId="6C173F5D" w14:textId="77777777" w:rsidR="00E03992" w:rsidRPr="000F069E" w:rsidRDefault="00E03992" w:rsidP="00E03992">
      <w:pPr>
        <w:spacing w:after="0" w:line="240" w:lineRule="auto"/>
        <w:jc w:val="center"/>
        <w:rPr>
          <w:rFonts w:cs="Times New Roman"/>
        </w:rPr>
      </w:pPr>
    </w:p>
    <w:p w14:paraId="1CECB8B9" w14:textId="77A97EED" w:rsidR="00C55B1C" w:rsidRDefault="00C55B1C" w:rsidP="001E5F09">
      <w:pPr>
        <w:spacing w:after="0" w:line="240" w:lineRule="auto"/>
        <w:rPr>
          <w:rFonts w:cs="Times New Roman"/>
          <w:szCs w:val="24"/>
        </w:rPr>
      </w:pPr>
    </w:p>
    <w:p w14:paraId="61750EF2" w14:textId="77777777" w:rsidR="00EA159A" w:rsidRDefault="00EA159A" w:rsidP="001E5F09">
      <w:pPr>
        <w:spacing w:after="0" w:line="240" w:lineRule="auto"/>
        <w:rPr>
          <w:rFonts w:cs="Times New Roman"/>
          <w:szCs w:val="24"/>
        </w:rPr>
      </w:pPr>
    </w:p>
    <w:p w14:paraId="73BE2F17" w14:textId="77777777" w:rsidR="00886134" w:rsidRPr="00912688" w:rsidRDefault="00886134">
      <w:pPr>
        <w:rPr>
          <w:color w:val="000000" w:themeColor="text1"/>
        </w:rPr>
      </w:pPr>
    </w:p>
    <w:sectPr w:rsidR="00886134" w:rsidRPr="00912688" w:rsidSect="002B25FA">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16BF8" w14:textId="77777777" w:rsidR="00CE53C1" w:rsidRDefault="00CE53C1" w:rsidP="003E627D">
      <w:pPr>
        <w:spacing w:after="0" w:line="240" w:lineRule="auto"/>
      </w:pPr>
      <w:r>
        <w:separator/>
      </w:r>
    </w:p>
  </w:endnote>
  <w:endnote w:type="continuationSeparator" w:id="0">
    <w:p w14:paraId="0D36B572" w14:textId="77777777" w:rsidR="00CE53C1" w:rsidRDefault="00CE53C1" w:rsidP="003E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B242" w14:textId="77777777" w:rsidR="00CE53C1" w:rsidRDefault="00CE53C1" w:rsidP="003E627D">
      <w:pPr>
        <w:spacing w:after="0" w:line="240" w:lineRule="auto"/>
      </w:pPr>
      <w:r>
        <w:separator/>
      </w:r>
    </w:p>
  </w:footnote>
  <w:footnote w:type="continuationSeparator" w:id="0">
    <w:p w14:paraId="699824F4" w14:textId="77777777" w:rsidR="00CE53C1" w:rsidRDefault="00CE53C1" w:rsidP="003E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36E"/>
    <w:multiLevelType w:val="hybridMultilevel"/>
    <w:tmpl w:val="106EC49A"/>
    <w:lvl w:ilvl="0" w:tplc="AD0E75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24C4C85"/>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2" w15:restartNumberingAfterBreak="0">
    <w:nsid w:val="0E1D2E2D"/>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065A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617CAC"/>
    <w:multiLevelType w:val="hybridMultilevel"/>
    <w:tmpl w:val="55C26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8178CF"/>
    <w:multiLevelType w:val="hybridMultilevel"/>
    <w:tmpl w:val="FB62A9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2BC27F80"/>
    <w:multiLevelType w:val="hybridMultilevel"/>
    <w:tmpl w:val="3A4861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E4843CA"/>
    <w:multiLevelType w:val="hybridMultilevel"/>
    <w:tmpl w:val="C69A8170"/>
    <w:lvl w:ilvl="0" w:tplc="7C900380">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77A77FB"/>
    <w:multiLevelType w:val="hybridMultilevel"/>
    <w:tmpl w:val="109C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E6593"/>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10" w15:restartNumberingAfterBreak="0">
    <w:nsid w:val="420628A5"/>
    <w:multiLevelType w:val="hybridMultilevel"/>
    <w:tmpl w:val="E060686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434B69B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AE458D"/>
    <w:multiLevelType w:val="multilevel"/>
    <w:tmpl w:val="F79E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CF3B09"/>
    <w:multiLevelType w:val="hybridMultilevel"/>
    <w:tmpl w:val="18B07D7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57E960A0"/>
    <w:multiLevelType w:val="hybridMultilevel"/>
    <w:tmpl w:val="83CE16BA"/>
    <w:lvl w:ilvl="0" w:tplc="8592C290">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A8A7CF7"/>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0"/>
  </w:num>
  <w:num w:numId="5">
    <w:abstractNumId w:val="9"/>
  </w:num>
  <w:num w:numId="6">
    <w:abstractNumId w:val="1"/>
  </w:num>
  <w:num w:numId="7">
    <w:abstractNumId w:val="11"/>
  </w:num>
  <w:num w:numId="8">
    <w:abstractNumId w:val="7"/>
  </w:num>
  <w:num w:numId="9">
    <w:abstractNumId w:val="15"/>
  </w:num>
  <w:num w:numId="10">
    <w:abstractNumId w:val="13"/>
  </w:num>
  <w:num w:numId="11">
    <w:abstractNumId w:val="2"/>
  </w:num>
  <w:num w:numId="12">
    <w:abstractNumId w:val="12"/>
  </w:num>
  <w:num w:numId="13">
    <w:abstractNumId w:val="10"/>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89"/>
    <w:rsid w:val="0000497A"/>
    <w:rsid w:val="00014B07"/>
    <w:rsid w:val="0005760D"/>
    <w:rsid w:val="0006484B"/>
    <w:rsid w:val="0006680B"/>
    <w:rsid w:val="00074EE0"/>
    <w:rsid w:val="00090B2D"/>
    <w:rsid w:val="000926E4"/>
    <w:rsid w:val="000A0B31"/>
    <w:rsid w:val="000A22C0"/>
    <w:rsid w:val="000A4104"/>
    <w:rsid w:val="000A61CD"/>
    <w:rsid w:val="000B41C6"/>
    <w:rsid w:val="000C758B"/>
    <w:rsid w:val="000C7AAE"/>
    <w:rsid w:val="000D33C4"/>
    <w:rsid w:val="000F069E"/>
    <w:rsid w:val="001069B1"/>
    <w:rsid w:val="00125C6C"/>
    <w:rsid w:val="00130B1A"/>
    <w:rsid w:val="00133CC2"/>
    <w:rsid w:val="001370BB"/>
    <w:rsid w:val="0014474A"/>
    <w:rsid w:val="00146D3C"/>
    <w:rsid w:val="00155D47"/>
    <w:rsid w:val="00166EC1"/>
    <w:rsid w:val="00170F38"/>
    <w:rsid w:val="00176183"/>
    <w:rsid w:val="001A1347"/>
    <w:rsid w:val="001B0747"/>
    <w:rsid w:val="001B5945"/>
    <w:rsid w:val="001B62A6"/>
    <w:rsid w:val="001E1F8D"/>
    <w:rsid w:val="001E5F09"/>
    <w:rsid w:val="001E7FAE"/>
    <w:rsid w:val="002078A9"/>
    <w:rsid w:val="00210B09"/>
    <w:rsid w:val="00212DC0"/>
    <w:rsid w:val="002172A2"/>
    <w:rsid w:val="00220732"/>
    <w:rsid w:val="00222F5C"/>
    <w:rsid w:val="00230A38"/>
    <w:rsid w:val="00236558"/>
    <w:rsid w:val="00257B2C"/>
    <w:rsid w:val="00270FC9"/>
    <w:rsid w:val="002737A5"/>
    <w:rsid w:val="00273A30"/>
    <w:rsid w:val="00275646"/>
    <w:rsid w:val="002837B7"/>
    <w:rsid w:val="002875B6"/>
    <w:rsid w:val="002A06B7"/>
    <w:rsid w:val="002B1C8D"/>
    <w:rsid w:val="002B25FA"/>
    <w:rsid w:val="002B76C2"/>
    <w:rsid w:val="002C2D28"/>
    <w:rsid w:val="002C7B9E"/>
    <w:rsid w:val="002D11B1"/>
    <w:rsid w:val="002D5A5D"/>
    <w:rsid w:val="002E3FA0"/>
    <w:rsid w:val="002F4C8A"/>
    <w:rsid w:val="003029F8"/>
    <w:rsid w:val="00314060"/>
    <w:rsid w:val="00327544"/>
    <w:rsid w:val="00333317"/>
    <w:rsid w:val="00367B89"/>
    <w:rsid w:val="0037126E"/>
    <w:rsid w:val="00371FF4"/>
    <w:rsid w:val="0038304D"/>
    <w:rsid w:val="00386E89"/>
    <w:rsid w:val="003935A7"/>
    <w:rsid w:val="003A2F81"/>
    <w:rsid w:val="003C2B7B"/>
    <w:rsid w:val="003E627D"/>
    <w:rsid w:val="0040435E"/>
    <w:rsid w:val="00405438"/>
    <w:rsid w:val="00430C7F"/>
    <w:rsid w:val="00434C5E"/>
    <w:rsid w:val="004364A6"/>
    <w:rsid w:val="00450E18"/>
    <w:rsid w:val="004565B2"/>
    <w:rsid w:val="00491680"/>
    <w:rsid w:val="00496C58"/>
    <w:rsid w:val="004A4EC4"/>
    <w:rsid w:val="004B0511"/>
    <w:rsid w:val="004B2ACD"/>
    <w:rsid w:val="004B4A6A"/>
    <w:rsid w:val="004C0E82"/>
    <w:rsid w:val="004C1A35"/>
    <w:rsid w:val="004D28E2"/>
    <w:rsid w:val="004E3889"/>
    <w:rsid w:val="004F17AB"/>
    <w:rsid w:val="00500A56"/>
    <w:rsid w:val="00510F3B"/>
    <w:rsid w:val="00530740"/>
    <w:rsid w:val="005332AC"/>
    <w:rsid w:val="00534790"/>
    <w:rsid w:val="00541E6E"/>
    <w:rsid w:val="00561FEB"/>
    <w:rsid w:val="00566968"/>
    <w:rsid w:val="00583123"/>
    <w:rsid w:val="005A2DDF"/>
    <w:rsid w:val="005B74E8"/>
    <w:rsid w:val="005C6E1B"/>
    <w:rsid w:val="005F737B"/>
    <w:rsid w:val="00600390"/>
    <w:rsid w:val="00602DC0"/>
    <w:rsid w:val="006051A9"/>
    <w:rsid w:val="00621576"/>
    <w:rsid w:val="006331C7"/>
    <w:rsid w:val="0065366A"/>
    <w:rsid w:val="00654A0B"/>
    <w:rsid w:val="00666147"/>
    <w:rsid w:val="00667E28"/>
    <w:rsid w:val="00676508"/>
    <w:rsid w:val="00686AA6"/>
    <w:rsid w:val="006A1668"/>
    <w:rsid w:val="006B353E"/>
    <w:rsid w:val="006B3B4E"/>
    <w:rsid w:val="006E0AD9"/>
    <w:rsid w:val="00713728"/>
    <w:rsid w:val="007152FA"/>
    <w:rsid w:val="00725CCE"/>
    <w:rsid w:val="00766C93"/>
    <w:rsid w:val="0077253C"/>
    <w:rsid w:val="0077606B"/>
    <w:rsid w:val="00793E21"/>
    <w:rsid w:val="007A7083"/>
    <w:rsid w:val="007B4191"/>
    <w:rsid w:val="007B4500"/>
    <w:rsid w:val="007F49C1"/>
    <w:rsid w:val="007F4BF4"/>
    <w:rsid w:val="00812CC1"/>
    <w:rsid w:val="0081546F"/>
    <w:rsid w:val="00831561"/>
    <w:rsid w:val="00843BC2"/>
    <w:rsid w:val="00843F6B"/>
    <w:rsid w:val="0086180C"/>
    <w:rsid w:val="0088149D"/>
    <w:rsid w:val="00886134"/>
    <w:rsid w:val="008878E2"/>
    <w:rsid w:val="008A7984"/>
    <w:rsid w:val="008A7B57"/>
    <w:rsid w:val="008C2633"/>
    <w:rsid w:val="008D2237"/>
    <w:rsid w:val="008E7792"/>
    <w:rsid w:val="008F5E1E"/>
    <w:rsid w:val="00912688"/>
    <w:rsid w:val="0091332D"/>
    <w:rsid w:val="00930A62"/>
    <w:rsid w:val="009340CB"/>
    <w:rsid w:val="00940A0D"/>
    <w:rsid w:val="0094719D"/>
    <w:rsid w:val="009600ED"/>
    <w:rsid w:val="009663DD"/>
    <w:rsid w:val="00976D22"/>
    <w:rsid w:val="00980CFC"/>
    <w:rsid w:val="00984D2F"/>
    <w:rsid w:val="0099245C"/>
    <w:rsid w:val="009A2A1A"/>
    <w:rsid w:val="009A2D50"/>
    <w:rsid w:val="009D4F0E"/>
    <w:rsid w:val="009E5238"/>
    <w:rsid w:val="009E54F6"/>
    <w:rsid w:val="009F0CAB"/>
    <w:rsid w:val="00A02DB5"/>
    <w:rsid w:val="00A030CD"/>
    <w:rsid w:val="00A0468C"/>
    <w:rsid w:val="00A27245"/>
    <w:rsid w:val="00A27865"/>
    <w:rsid w:val="00A40CCF"/>
    <w:rsid w:val="00A41750"/>
    <w:rsid w:val="00A52714"/>
    <w:rsid w:val="00A54E9A"/>
    <w:rsid w:val="00A973D0"/>
    <w:rsid w:val="00AB2629"/>
    <w:rsid w:val="00AC54FC"/>
    <w:rsid w:val="00AD5509"/>
    <w:rsid w:val="00AF1C21"/>
    <w:rsid w:val="00B20B6C"/>
    <w:rsid w:val="00B23647"/>
    <w:rsid w:val="00B25A93"/>
    <w:rsid w:val="00B51200"/>
    <w:rsid w:val="00B64CE8"/>
    <w:rsid w:val="00B67C8C"/>
    <w:rsid w:val="00B76318"/>
    <w:rsid w:val="00B95C2F"/>
    <w:rsid w:val="00BA4479"/>
    <w:rsid w:val="00BB1ADF"/>
    <w:rsid w:val="00BC62D1"/>
    <w:rsid w:val="00BE0688"/>
    <w:rsid w:val="00C017F9"/>
    <w:rsid w:val="00C16B71"/>
    <w:rsid w:val="00C55B1C"/>
    <w:rsid w:val="00C863C6"/>
    <w:rsid w:val="00CC3936"/>
    <w:rsid w:val="00CD6771"/>
    <w:rsid w:val="00CE41B5"/>
    <w:rsid w:val="00CE53C1"/>
    <w:rsid w:val="00CE5E91"/>
    <w:rsid w:val="00CF0513"/>
    <w:rsid w:val="00D00B85"/>
    <w:rsid w:val="00D1291B"/>
    <w:rsid w:val="00D15B64"/>
    <w:rsid w:val="00D23FCA"/>
    <w:rsid w:val="00D24B0C"/>
    <w:rsid w:val="00D339F0"/>
    <w:rsid w:val="00D35272"/>
    <w:rsid w:val="00D37D16"/>
    <w:rsid w:val="00D51B49"/>
    <w:rsid w:val="00D756C7"/>
    <w:rsid w:val="00D94762"/>
    <w:rsid w:val="00DA301C"/>
    <w:rsid w:val="00DB08A3"/>
    <w:rsid w:val="00DC1892"/>
    <w:rsid w:val="00DE0FDD"/>
    <w:rsid w:val="00DF51C9"/>
    <w:rsid w:val="00E03992"/>
    <w:rsid w:val="00E11D1B"/>
    <w:rsid w:val="00E13058"/>
    <w:rsid w:val="00E13DD9"/>
    <w:rsid w:val="00E26759"/>
    <w:rsid w:val="00E26B84"/>
    <w:rsid w:val="00E41A05"/>
    <w:rsid w:val="00E555F0"/>
    <w:rsid w:val="00E76054"/>
    <w:rsid w:val="00E829E9"/>
    <w:rsid w:val="00E908D9"/>
    <w:rsid w:val="00E93489"/>
    <w:rsid w:val="00EA159A"/>
    <w:rsid w:val="00EC02C6"/>
    <w:rsid w:val="00EC7BCD"/>
    <w:rsid w:val="00ED7117"/>
    <w:rsid w:val="00EF0374"/>
    <w:rsid w:val="00EF5F1A"/>
    <w:rsid w:val="00F25B6E"/>
    <w:rsid w:val="00F37EF0"/>
    <w:rsid w:val="00F548A4"/>
    <w:rsid w:val="00F561C9"/>
    <w:rsid w:val="00F729C5"/>
    <w:rsid w:val="00F85937"/>
    <w:rsid w:val="00F875EC"/>
    <w:rsid w:val="00F877E3"/>
    <w:rsid w:val="00FA4DE5"/>
    <w:rsid w:val="00FD1D20"/>
    <w:rsid w:val="00FE5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6CDD"/>
  <w15:chartTrackingRefBased/>
  <w15:docId w15:val="{A6FDF205-2168-4152-BEF1-5BEB1861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62"/>
    <w:rPr>
      <w:rFonts w:ascii="Times New Roman" w:hAnsi="Times New Roman"/>
      <w:sz w:val="24"/>
    </w:rPr>
  </w:style>
  <w:style w:type="paragraph" w:styleId="Heading1">
    <w:name w:val="heading 1"/>
    <w:basedOn w:val="Normal"/>
    <w:link w:val="Heading1Char"/>
    <w:uiPriority w:val="9"/>
    <w:qFormat/>
    <w:rsid w:val="004C1A35"/>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09"/>
    <w:pPr>
      <w:ind w:left="720"/>
      <w:contextualSpacing/>
    </w:pPr>
  </w:style>
  <w:style w:type="paragraph" w:customStyle="1" w:styleId="Hyperlink1">
    <w:name w:val="Hyperlink1"/>
    <w:rsid w:val="001E5F09"/>
    <w:pPr>
      <w:spacing w:after="0" w:line="240" w:lineRule="auto"/>
      <w:ind w:firstLine="312"/>
      <w:jc w:val="both"/>
    </w:pPr>
    <w:rPr>
      <w:rFonts w:ascii="TimesLT" w:eastAsia="Times New Roman" w:hAnsi="TimesLT" w:cs="Times New Roman"/>
      <w:sz w:val="20"/>
      <w:szCs w:val="20"/>
      <w:lang w:val="en-GB"/>
    </w:rPr>
  </w:style>
  <w:style w:type="paragraph" w:customStyle="1" w:styleId="Default">
    <w:name w:val="Default"/>
    <w:rsid w:val="001E5F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E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25FA"/>
    <w:pPr>
      <w:spacing w:before="100" w:beforeAutospacing="1" w:after="100" w:afterAutospacing="1" w:line="240" w:lineRule="auto"/>
    </w:pPr>
    <w:rPr>
      <w:rFonts w:eastAsia="Times New Roman" w:cs="Times New Roman"/>
      <w:szCs w:val="24"/>
      <w:lang w:eastAsia="lt-LT"/>
    </w:rPr>
  </w:style>
  <w:style w:type="paragraph" w:styleId="Header">
    <w:name w:val="header"/>
    <w:aliases w:val="Char"/>
    <w:basedOn w:val="Normal"/>
    <w:link w:val="HeaderChar"/>
    <w:unhideWhenUsed/>
    <w:rsid w:val="003E627D"/>
    <w:pPr>
      <w:tabs>
        <w:tab w:val="center" w:pos="4819"/>
        <w:tab w:val="right" w:pos="9638"/>
      </w:tabs>
      <w:spacing w:after="0" w:line="240" w:lineRule="auto"/>
    </w:pPr>
  </w:style>
  <w:style w:type="character" w:customStyle="1" w:styleId="HeaderChar">
    <w:name w:val="Header Char"/>
    <w:aliases w:val="Char Char"/>
    <w:basedOn w:val="DefaultParagraphFont"/>
    <w:link w:val="Header"/>
    <w:rsid w:val="003E627D"/>
  </w:style>
  <w:style w:type="paragraph" w:styleId="Footer">
    <w:name w:val="footer"/>
    <w:basedOn w:val="Normal"/>
    <w:link w:val="FooterChar"/>
    <w:uiPriority w:val="99"/>
    <w:unhideWhenUsed/>
    <w:rsid w:val="003E62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E627D"/>
  </w:style>
  <w:style w:type="character" w:styleId="Hyperlink">
    <w:name w:val="Hyperlink"/>
    <w:basedOn w:val="DefaultParagraphFont"/>
    <w:uiPriority w:val="99"/>
    <w:unhideWhenUsed/>
    <w:rsid w:val="00FA4DE5"/>
    <w:rPr>
      <w:color w:val="0000FF"/>
      <w:u w:val="single"/>
    </w:rPr>
  </w:style>
  <w:style w:type="character" w:styleId="CommentReference">
    <w:name w:val="annotation reference"/>
    <w:basedOn w:val="DefaultParagraphFont"/>
    <w:uiPriority w:val="99"/>
    <w:semiHidden/>
    <w:unhideWhenUsed/>
    <w:rsid w:val="00D94762"/>
    <w:rPr>
      <w:sz w:val="16"/>
      <w:szCs w:val="16"/>
    </w:rPr>
  </w:style>
  <w:style w:type="paragraph" w:styleId="CommentText">
    <w:name w:val="annotation text"/>
    <w:basedOn w:val="Normal"/>
    <w:link w:val="CommentTextChar"/>
    <w:uiPriority w:val="99"/>
    <w:semiHidden/>
    <w:unhideWhenUsed/>
    <w:rsid w:val="00D94762"/>
    <w:pPr>
      <w:spacing w:line="240" w:lineRule="auto"/>
    </w:pPr>
    <w:rPr>
      <w:sz w:val="20"/>
      <w:szCs w:val="20"/>
    </w:rPr>
  </w:style>
  <w:style w:type="character" w:customStyle="1" w:styleId="CommentTextChar">
    <w:name w:val="Comment Text Char"/>
    <w:basedOn w:val="DefaultParagraphFont"/>
    <w:link w:val="CommentText"/>
    <w:uiPriority w:val="99"/>
    <w:semiHidden/>
    <w:rsid w:val="00D947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94762"/>
    <w:rPr>
      <w:b/>
      <w:bCs/>
    </w:rPr>
  </w:style>
  <w:style w:type="character" w:customStyle="1" w:styleId="CommentSubjectChar">
    <w:name w:val="Comment Subject Char"/>
    <w:basedOn w:val="CommentTextChar"/>
    <w:link w:val="CommentSubject"/>
    <w:uiPriority w:val="99"/>
    <w:semiHidden/>
    <w:rsid w:val="00D94762"/>
    <w:rPr>
      <w:rFonts w:ascii="Times New Roman" w:hAnsi="Times New Roman"/>
      <w:b/>
      <w:bCs/>
      <w:sz w:val="20"/>
      <w:szCs w:val="20"/>
    </w:rPr>
  </w:style>
  <w:style w:type="paragraph" w:styleId="BalloonText">
    <w:name w:val="Balloon Text"/>
    <w:basedOn w:val="Normal"/>
    <w:link w:val="BalloonTextChar"/>
    <w:uiPriority w:val="99"/>
    <w:semiHidden/>
    <w:unhideWhenUsed/>
    <w:rsid w:val="00D9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762"/>
    <w:rPr>
      <w:rFonts w:ascii="Segoe UI" w:hAnsi="Segoe UI" w:cs="Segoe UI"/>
      <w:sz w:val="18"/>
      <w:szCs w:val="18"/>
    </w:rPr>
  </w:style>
  <w:style w:type="character" w:customStyle="1" w:styleId="Heading1Char">
    <w:name w:val="Heading 1 Char"/>
    <w:basedOn w:val="DefaultParagraphFont"/>
    <w:link w:val="Heading1"/>
    <w:uiPriority w:val="9"/>
    <w:rsid w:val="004C1A35"/>
    <w:rPr>
      <w:rFonts w:ascii="Times New Roman" w:eastAsia="Times New Roman" w:hAnsi="Times New Roman" w:cs="Times New Roman"/>
      <w:b/>
      <w:bCs/>
      <w:kern w:val="36"/>
      <w:sz w:val="48"/>
      <w:szCs w:val="48"/>
      <w:lang w:val="en-US"/>
    </w:rPr>
  </w:style>
  <w:style w:type="character" w:customStyle="1" w:styleId="52je">
    <w:name w:val="_52je"/>
    <w:basedOn w:val="DefaultParagraphFont"/>
    <w:rsid w:val="004C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93683">
      <w:bodyDiv w:val="1"/>
      <w:marLeft w:val="0"/>
      <w:marRight w:val="0"/>
      <w:marTop w:val="0"/>
      <w:marBottom w:val="0"/>
      <w:divBdr>
        <w:top w:val="none" w:sz="0" w:space="0" w:color="auto"/>
        <w:left w:val="none" w:sz="0" w:space="0" w:color="auto"/>
        <w:bottom w:val="none" w:sz="0" w:space="0" w:color="auto"/>
        <w:right w:val="none" w:sz="0" w:space="0" w:color="auto"/>
      </w:divBdr>
    </w:div>
    <w:div w:id="457575410">
      <w:bodyDiv w:val="1"/>
      <w:marLeft w:val="0"/>
      <w:marRight w:val="0"/>
      <w:marTop w:val="0"/>
      <w:marBottom w:val="0"/>
      <w:divBdr>
        <w:top w:val="none" w:sz="0" w:space="0" w:color="auto"/>
        <w:left w:val="none" w:sz="0" w:space="0" w:color="auto"/>
        <w:bottom w:val="none" w:sz="0" w:space="0" w:color="auto"/>
        <w:right w:val="none" w:sz="0" w:space="0" w:color="auto"/>
      </w:divBdr>
    </w:div>
    <w:div w:id="1018124262">
      <w:bodyDiv w:val="1"/>
      <w:marLeft w:val="0"/>
      <w:marRight w:val="0"/>
      <w:marTop w:val="0"/>
      <w:marBottom w:val="0"/>
      <w:divBdr>
        <w:top w:val="none" w:sz="0" w:space="0" w:color="auto"/>
        <w:left w:val="none" w:sz="0" w:space="0" w:color="auto"/>
        <w:bottom w:val="none" w:sz="0" w:space="0" w:color="auto"/>
        <w:right w:val="none" w:sz="0" w:space="0" w:color="auto"/>
      </w:divBdr>
      <w:divsChild>
        <w:div w:id="242960299">
          <w:marLeft w:val="0"/>
          <w:marRight w:val="0"/>
          <w:marTop w:val="0"/>
          <w:marBottom w:val="0"/>
          <w:divBdr>
            <w:top w:val="none" w:sz="0" w:space="0" w:color="auto"/>
            <w:left w:val="none" w:sz="0" w:space="0" w:color="auto"/>
            <w:bottom w:val="none" w:sz="0" w:space="0" w:color="auto"/>
            <w:right w:val="none" w:sz="0" w:space="0" w:color="auto"/>
          </w:divBdr>
        </w:div>
        <w:div w:id="77599010">
          <w:marLeft w:val="0"/>
          <w:marRight w:val="0"/>
          <w:marTop w:val="0"/>
          <w:marBottom w:val="0"/>
          <w:divBdr>
            <w:top w:val="none" w:sz="0" w:space="0" w:color="auto"/>
            <w:left w:val="none" w:sz="0" w:space="0" w:color="auto"/>
            <w:bottom w:val="none" w:sz="0" w:space="0" w:color="auto"/>
            <w:right w:val="none" w:sz="0" w:space="0" w:color="auto"/>
          </w:divBdr>
        </w:div>
        <w:div w:id="1134061207">
          <w:marLeft w:val="0"/>
          <w:marRight w:val="0"/>
          <w:marTop w:val="0"/>
          <w:marBottom w:val="0"/>
          <w:divBdr>
            <w:top w:val="none" w:sz="0" w:space="0" w:color="auto"/>
            <w:left w:val="none" w:sz="0" w:space="0" w:color="auto"/>
            <w:bottom w:val="none" w:sz="0" w:space="0" w:color="auto"/>
            <w:right w:val="none" w:sz="0" w:space="0" w:color="auto"/>
          </w:divBdr>
        </w:div>
        <w:div w:id="1265192131">
          <w:marLeft w:val="0"/>
          <w:marRight w:val="0"/>
          <w:marTop w:val="0"/>
          <w:marBottom w:val="0"/>
          <w:divBdr>
            <w:top w:val="none" w:sz="0" w:space="0" w:color="auto"/>
            <w:left w:val="none" w:sz="0" w:space="0" w:color="auto"/>
            <w:bottom w:val="none" w:sz="0" w:space="0" w:color="auto"/>
            <w:right w:val="none" w:sz="0" w:space="0" w:color="auto"/>
          </w:divBdr>
        </w:div>
        <w:div w:id="1651713809">
          <w:marLeft w:val="0"/>
          <w:marRight w:val="0"/>
          <w:marTop w:val="0"/>
          <w:marBottom w:val="0"/>
          <w:divBdr>
            <w:top w:val="none" w:sz="0" w:space="0" w:color="auto"/>
            <w:left w:val="none" w:sz="0" w:space="0" w:color="auto"/>
            <w:bottom w:val="none" w:sz="0" w:space="0" w:color="auto"/>
            <w:right w:val="none" w:sz="0" w:space="0" w:color="auto"/>
          </w:divBdr>
        </w:div>
        <w:div w:id="1426151629">
          <w:marLeft w:val="0"/>
          <w:marRight w:val="0"/>
          <w:marTop w:val="0"/>
          <w:marBottom w:val="0"/>
          <w:divBdr>
            <w:top w:val="none" w:sz="0" w:space="0" w:color="auto"/>
            <w:left w:val="none" w:sz="0" w:space="0" w:color="auto"/>
            <w:bottom w:val="none" w:sz="0" w:space="0" w:color="auto"/>
            <w:right w:val="none" w:sz="0" w:space="0" w:color="auto"/>
          </w:divBdr>
        </w:div>
        <w:div w:id="1578050027">
          <w:marLeft w:val="0"/>
          <w:marRight w:val="0"/>
          <w:marTop w:val="0"/>
          <w:marBottom w:val="0"/>
          <w:divBdr>
            <w:top w:val="none" w:sz="0" w:space="0" w:color="auto"/>
            <w:left w:val="none" w:sz="0" w:space="0" w:color="auto"/>
            <w:bottom w:val="none" w:sz="0" w:space="0" w:color="auto"/>
            <w:right w:val="none" w:sz="0" w:space="0" w:color="auto"/>
          </w:divBdr>
        </w:div>
      </w:divsChild>
    </w:div>
    <w:div w:id="1229995665">
      <w:bodyDiv w:val="1"/>
      <w:marLeft w:val="0"/>
      <w:marRight w:val="0"/>
      <w:marTop w:val="0"/>
      <w:marBottom w:val="0"/>
      <w:divBdr>
        <w:top w:val="none" w:sz="0" w:space="0" w:color="auto"/>
        <w:left w:val="none" w:sz="0" w:space="0" w:color="auto"/>
        <w:bottom w:val="none" w:sz="0" w:space="0" w:color="auto"/>
        <w:right w:val="none" w:sz="0" w:space="0" w:color="auto"/>
      </w:divBdr>
    </w:div>
    <w:div w:id="21164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3EBE-2793-4CFF-A7C8-BEEA49F8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2144</Words>
  <Characters>1223</Characters>
  <Application>Microsoft Office Word</Application>
  <DocSecurity>4</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Navickienė</dc:creator>
  <cp:keywords/>
  <dc:description/>
  <cp:lastModifiedBy>Giedrutė Mikaločienė</cp:lastModifiedBy>
  <cp:revision>2</cp:revision>
  <dcterms:created xsi:type="dcterms:W3CDTF">2021-11-19T06:22:00Z</dcterms:created>
  <dcterms:modified xsi:type="dcterms:W3CDTF">2021-11-19T06:22:00Z</dcterms:modified>
</cp:coreProperties>
</file>